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2A118842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7B754F" w:rsidRPr="007B754F">
        <w:rPr>
          <w:b/>
          <w:bCs/>
          <w:sz w:val="52"/>
          <w:szCs w:val="52"/>
        </w:rPr>
        <w:t xml:space="preserve">Injektion, infusion och transfusion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259C5CE1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52"/>
          <w:szCs w:val="52"/>
        </w:rPr>
        <w:t xml:space="preserve">Gullstrandssalen ingång 85 Akademiska sjukhuset </w:t>
      </w:r>
    </w:p>
    <w:p w14:paraId="3C0518E0" w14:textId="74A1A89D" w:rsidR="00205AF2" w:rsidRPr="007B754F" w:rsidRDefault="007B754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52"/>
          <w:szCs w:val="52"/>
        </w:rPr>
        <w:t>28/11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2FCBDEC" w14:textId="79A77373" w:rsidR="001D18EF" w:rsidRPr="007B754F" w:rsidRDefault="007B754F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Infusionsaggregat, blandningssystem, infusionskopplingar, infusions-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 xml:space="preserve">och injektionskanyler, </w:t>
      </w:r>
      <w:proofErr w:type="spellStart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nålfria</w:t>
      </w:r>
      <w:proofErr w:type="spellEnd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 injektionssystem, infartsfixeringar,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</w:r>
      <w:proofErr w:type="spellStart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tiva</w:t>
      </w:r>
      <w:proofErr w:type="spellEnd"/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-set och sprutor.</w:t>
      </w:r>
    </w:p>
    <w:p w14:paraId="211FA2EB" w14:textId="59DCB3B7" w:rsidR="001D18EF" w:rsidRPr="007B754F" w:rsidRDefault="001D18EF" w:rsidP="001D18EF">
      <w:pPr>
        <w:pStyle w:val="Rubrik2"/>
        <w:spacing w:before="0" w:beforeAutospacing="0" w:after="0" w:afterAutospacing="0"/>
        <w:rPr>
          <w:rFonts w:ascii="Source Sans Pro" w:hAnsi="Source Sans Pro"/>
          <w:b w:val="0"/>
          <w:bCs w:val="0"/>
        </w:rPr>
      </w:pPr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B754F"/>
    <w:rsid w:val="00857A07"/>
    <w:rsid w:val="00B3315B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9</cp:revision>
  <cp:lastPrinted>2022-05-18T06:15:00Z</cp:lastPrinted>
  <dcterms:created xsi:type="dcterms:W3CDTF">2022-04-07T10:47:00Z</dcterms:created>
  <dcterms:modified xsi:type="dcterms:W3CDTF">2022-10-05T08:53:00Z</dcterms:modified>
</cp:coreProperties>
</file>